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76D" w:rsidRDefault="00B46BA9">
      <w:r>
        <w:t>Vlastivěda 8.6. – 21.6.</w:t>
      </w:r>
    </w:p>
    <w:p w:rsidR="00B46BA9" w:rsidRDefault="00B46BA9"/>
    <w:p w:rsidR="00B46BA9" w:rsidRDefault="00B46BA9" w:rsidP="00B4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</w:pPr>
      <w:r>
        <w:t xml:space="preserve">V minulém období jste měli za úkol vypracovat a poslat ke kontrole </w:t>
      </w:r>
      <w:r w:rsidRPr="00B46BA9">
        <w:rPr>
          <w:b/>
          <w:bCs/>
        </w:rPr>
        <w:t>referát</w:t>
      </w:r>
      <w:r>
        <w:t xml:space="preserve"> na vybrané téma z nabídky dvojstrany </w:t>
      </w:r>
      <w:r w:rsidRPr="00B46BA9">
        <w:rPr>
          <w:b/>
          <w:bCs/>
        </w:rPr>
        <w:t>50-51</w:t>
      </w:r>
      <w:r>
        <w:t xml:space="preserve"> vaší učebnice. Kdo tak ještě neučinil, napravte to prosím co nejdříve.</w:t>
      </w:r>
    </w:p>
    <w:p w:rsidR="00B46BA9" w:rsidRDefault="00B46BA9" w:rsidP="00B46BA9"/>
    <w:p w:rsidR="00B46BA9" w:rsidRDefault="00B46BA9" w:rsidP="00B46BA9">
      <w:pPr>
        <w:pStyle w:val="Odstavecseseznamem"/>
        <w:numPr>
          <w:ilvl w:val="0"/>
          <w:numId w:val="1"/>
        </w:numPr>
        <w:ind w:left="0"/>
      </w:pPr>
      <w:r>
        <w:t>V učebnici na straně 52/1 si přečti obecný úvod o tom, co je to válka.</w:t>
      </w:r>
    </w:p>
    <w:p w:rsidR="00B46BA9" w:rsidRDefault="00B46BA9" w:rsidP="00B46BA9">
      <w:pPr>
        <w:pStyle w:val="Odstavecseseznamem"/>
        <w:numPr>
          <w:ilvl w:val="0"/>
          <w:numId w:val="1"/>
        </w:numPr>
        <w:ind w:left="0"/>
      </w:pPr>
      <w:r>
        <w:t>Na YouTube zhlédni následující videa, týkající se 1. světové války a československých legionářů:</w:t>
      </w:r>
    </w:p>
    <w:p w:rsidR="00B46BA9" w:rsidRDefault="00B46BA9" w:rsidP="00B46BA9">
      <w:pPr>
        <w:pStyle w:val="Odstavecseseznamem"/>
        <w:ind w:left="0"/>
      </w:pPr>
      <w:r>
        <w:t xml:space="preserve">-&gt; </w:t>
      </w:r>
      <w:hyperlink r:id="rId8" w:history="1">
        <w:r w:rsidRPr="00AA6A88">
          <w:rPr>
            <w:rStyle w:val="Hypertextovodkaz"/>
          </w:rPr>
          <w:t>https://www.youtube.com/watch?v=CHjv02nwAWc</w:t>
        </w:r>
      </w:hyperlink>
    </w:p>
    <w:p w:rsidR="00B46BA9" w:rsidRDefault="00B46BA9" w:rsidP="00B46BA9">
      <w:pPr>
        <w:pStyle w:val="Odstavecseseznamem"/>
        <w:ind w:left="0"/>
      </w:pPr>
      <w:r>
        <w:t xml:space="preserve">-&gt; </w:t>
      </w:r>
      <w:hyperlink r:id="rId9" w:history="1">
        <w:r w:rsidRPr="00AA6A88">
          <w:rPr>
            <w:rStyle w:val="Hypertextovodkaz"/>
          </w:rPr>
          <w:t>https://www.youtube.com/watch?v=47akm6F9Hes</w:t>
        </w:r>
      </w:hyperlink>
    </w:p>
    <w:p w:rsidR="00B46BA9" w:rsidRDefault="00901629" w:rsidP="00901629">
      <w:pPr>
        <w:pStyle w:val="Odstavecseseznamem"/>
        <w:numPr>
          <w:ilvl w:val="0"/>
          <w:numId w:val="1"/>
        </w:numPr>
        <w:ind w:left="0"/>
      </w:pPr>
      <w:r>
        <w:t>Po přečtení níže uvedeného textu</w:t>
      </w:r>
      <w:r>
        <w:rPr>
          <w:rStyle w:val="Znakapoznpodarou"/>
        </w:rPr>
        <w:footnoteReference w:id="1"/>
      </w:r>
      <w:r>
        <w:t xml:space="preserve"> vyplň levý sloupeček tabulky ze </w:t>
      </w:r>
      <w:r w:rsidRPr="00901629">
        <w:rPr>
          <w:b/>
          <w:bCs/>
          <w:highlight w:val="yellow"/>
        </w:rPr>
        <w:t>str. 53</w:t>
      </w:r>
      <w:r>
        <w:t xml:space="preserve">. </w:t>
      </w:r>
      <w:r w:rsidR="001424DC">
        <w:t xml:space="preserve">Foto tabulky </w:t>
      </w:r>
      <w:r w:rsidR="001424DC" w:rsidRPr="001424DC">
        <w:rPr>
          <w:b/>
          <w:bCs/>
        </w:rPr>
        <w:t>zašli ke kontrole</w:t>
      </w:r>
      <w:r w:rsidR="001424DC">
        <w:t xml:space="preserve"> paní učitelce </w:t>
      </w:r>
      <w:r w:rsidR="001424DC" w:rsidRPr="001424DC">
        <w:rPr>
          <w:b/>
          <w:bCs/>
          <w:highlight w:val="yellow"/>
        </w:rPr>
        <w:t>do 21.6.</w:t>
      </w:r>
    </w:p>
    <w:p w:rsidR="00901629" w:rsidRDefault="00901629" w:rsidP="00901629">
      <w:pPr>
        <w:pStyle w:val="Odstavecseseznamem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01EBC5">
            <wp:simplePos x="0" y="0"/>
            <wp:positionH relativeFrom="margin">
              <wp:posOffset>-610235</wp:posOffset>
            </wp:positionH>
            <wp:positionV relativeFrom="paragraph">
              <wp:posOffset>434975</wp:posOffset>
            </wp:positionV>
            <wp:extent cx="7094220" cy="5940105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9" t="14815" r="25053" b="10640"/>
                    <a:stretch/>
                  </pic:blipFill>
                  <pic:spPr bwMode="auto">
                    <a:xfrm>
                      <a:off x="0" y="0"/>
                      <a:ext cx="7094220" cy="59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Pr="00605195" w:rsidRDefault="00605195" w:rsidP="00605195"/>
    <w:p w:rsidR="00605195" w:rsidRDefault="00605195" w:rsidP="00605195">
      <w:pPr>
        <w:tabs>
          <w:tab w:val="left" w:pos="2292"/>
        </w:tabs>
      </w:pPr>
      <w:r>
        <w:tab/>
      </w:r>
    </w:p>
    <w:p w:rsidR="00605195" w:rsidRDefault="00892BCE" w:rsidP="00892BCE">
      <w:pPr>
        <w:pStyle w:val="Odstavecseseznamem"/>
        <w:numPr>
          <w:ilvl w:val="0"/>
          <w:numId w:val="1"/>
        </w:numPr>
        <w:tabs>
          <w:tab w:val="left" w:pos="2292"/>
        </w:tabs>
        <w:ind w:left="0"/>
      </w:pPr>
      <w:r>
        <w:lastRenderedPageBreak/>
        <w:t>Ve druhém týdnu se zaměř na informace o II. světové válce:</w:t>
      </w:r>
    </w:p>
    <w:p w:rsidR="00892BCE" w:rsidRDefault="00892BCE" w:rsidP="00892BCE">
      <w:pPr>
        <w:pStyle w:val="Odstavecseseznamem"/>
        <w:tabs>
          <w:tab w:val="left" w:pos="2292"/>
        </w:tabs>
        <w:ind w:left="0"/>
      </w:pPr>
      <w:r>
        <w:t xml:space="preserve">-&gt; </w:t>
      </w:r>
      <w:hyperlink r:id="rId11" w:history="1">
        <w:r w:rsidRPr="00AA6A88">
          <w:rPr>
            <w:rStyle w:val="Hypertextovodkaz"/>
          </w:rPr>
          <w:t>https://www.youtube.com/watch?v=6LWRYnT9XEg</w:t>
        </w:r>
      </w:hyperlink>
    </w:p>
    <w:p w:rsidR="00892BCE" w:rsidRDefault="00892BCE" w:rsidP="00892BCE">
      <w:pPr>
        <w:pStyle w:val="Odstavecseseznamem"/>
        <w:numPr>
          <w:ilvl w:val="0"/>
          <w:numId w:val="1"/>
        </w:numPr>
        <w:ind w:left="0"/>
      </w:pPr>
      <w:r>
        <w:t>Po přečtení níže uvedeného textu</w:t>
      </w:r>
      <w:r>
        <w:rPr>
          <w:rStyle w:val="Znakapoznpodarou"/>
        </w:rPr>
        <w:footnoteReference w:id="2"/>
      </w:r>
      <w:r>
        <w:t xml:space="preserve"> vyplň </w:t>
      </w:r>
      <w:r>
        <w:t>pravý</w:t>
      </w:r>
      <w:r>
        <w:t xml:space="preserve"> sloupeček tabulky ze </w:t>
      </w:r>
      <w:r w:rsidRPr="00901629">
        <w:rPr>
          <w:b/>
          <w:bCs/>
          <w:highlight w:val="yellow"/>
        </w:rPr>
        <w:t>str. 53</w:t>
      </w:r>
      <w:r>
        <w:t xml:space="preserve">. Foto tabulky </w:t>
      </w:r>
      <w:r w:rsidRPr="001424DC">
        <w:rPr>
          <w:b/>
          <w:bCs/>
        </w:rPr>
        <w:t>zašli ke kontrole</w:t>
      </w:r>
      <w:r>
        <w:t xml:space="preserve"> paní učitelce </w:t>
      </w:r>
      <w:r w:rsidRPr="001424DC">
        <w:rPr>
          <w:b/>
          <w:bCs/>
          <w:highlight w:val="yellow"/>
        </w:rPr>
        <w:t>do 21.6.</w:t>
      </w:r>
    </w:p>
    <w:p w:rsidR="00892BCE" w:rsidRDefault="00892BCE" w:rsidP="00892BCE">
      <w:pPr>
        <w:pStyle w:val="Odstavecseseznamem"/>
        <w:tabs>
          <w:tab w:val="left" w:pos="2292"/>
        </w:tabs>
        <w:ind w:left="0"/>
      </w:pPr>
    </w:p>
    <w:p w:rsidR="00892BCE" w:rsidRDefault="00892BCE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  <w:r>
        <w:rPr>
          <w:rFonts w:ascii="Tahoma" w:hAnsi="Tahoma" w:cs="Tahoma"/>
          <w:b w:val="0"/>
          <w:bCs w:val="0"/>
          <w:color w:val="1F3B55"/>
          <w:sz w:val="29"/>
          <w:szCs w:val="29"/>
        </w:rPr>
        <w:t>POČÁTEK VÁLKY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Německo obsadilo Československu Sudety. Od Československa se odtrhává Slovensko a vytváří si </w:t>
      </w: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Slovenský </w:t>
      </w:r>
      <w:proofErr w:type="spellStart"/>
      <w:r>
        <w:rPr>
          <w:rStyle w:val="Siln"/>
          <w:rFonts w:ascii="Tahoma" w:hAnsi="Tahoma" w:cs="Tahoma"/>
          <w:color w:val="000000"/>
          <w:sz w:val="19"/>
          <w:szCs w:val="19"/>
        </w:rPr>
        <w:t>štát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To je následně spojencem hitlerovského Německa. To vše se událo v březnu roku 1939. Němci následně obsadili Čechy i Moravu, vznikl tak PROTEKTORÁT ČECHY A MORAVA.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Válka oficiálně začala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1.září 1939</w:t>
      </w:r>
      <w:r>
        <w:rPr>
          <w:rFonts w:ascii="Tahoma" w:hAnsi="Tahoma" w:cs="Tahoma"/>
          <w:color w:val="000000"/>
          <w:sz w:val="19"/>
          <w:szCs w:val="19"/>
        </w:rPr>
        <w:t xml:space="preserve">. V ten den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Němci napadli Polsko</w:t>
      </w:r>
      <w:r>
        <w:rPr>
          <w:rFonts w:ascii="Tahoma" w:hAnsi="Tahoma" w:cs="Tahoma"/>
          <w:color w:val="000000"/>
          <w:sz w:val="19"/>
          <w:szCs w:val="19"/>
        </w:rPr>
        <w:t xml:space="preserve">. Události se daly do pohybu. Rusko napadlo Polsko z východu, proti Němcům se postavili Francie a Británie, Japonci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npadli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Čínu a největší světový válečný konflikt byl na světě.</w:t>
      </w:r>
    </w:p>
    <w:p w:rsidR="00C046EF" w:rsidRDefault="00C046EF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</w:p>
    <w:p w:rsidR="00892BCE" w:rsidRPr="00C046EF" w:rsidRDefault="00892BCE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  <w:r>
        <w:rPr>
          <w:rFonts w:ascii="Tahoma" w:hAnsi="Tahoma" w:cs="Tahoma"/>
          <w:b w:val="0"/>
          <w:bCs w:val="0"/>
          <w:color w:val="1F3B55"/>
          <w:sz w:val="29"/>
          <w:szCs w:val="29"/>
        </w:rPr>
        <w:t>KDO VÁLČIL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Do války se zapojila většina států světa. </w:t>
      </w:r>
      <w:r>
        <w:rPr>
          <w:rFonts w:ascii="Tahoma" w:hAnsi="Tahoma" w:cs="Tahoma"/>
          <w:color w:val="000000"/>
          <w:sz w:val="19"/>
          <w:szCs w:val="19"/>
        </w:rPr>
        <w:t xml:space="preserve">Mohli bychom je rozdělit do dvou velkých skupin, a to na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SPOJENCE a státy OSA</w:t>
      </w:r>
      <w:r>
        <w:rPr>
          <w:rFonts w:ascii="Tahoma" w:hAnsi="Tahoma" w:cs="Tahoma"/>
          <w:color w:val="000000"/>
          <w:sz w:val="19"/>
          <w:szCs w:val="19"/>
        </w:rPr>
        <w:t xml:space="preserve">. OSA je zkrácený název pro spojenectví "OSA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BERLÍN - ŘÍM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- TOKIO"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tbl>
      <w:tblPr>
        <w:tblW w:w="6750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49"/>
        <w:gridCol w:w="3301"/>
      </w:tblGrid>
      <w:tr w:rsidR="00892BCE" w:rsidTr="00892BCE">
        <w:trPr>
          <w:tblHeader/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9AB5C0"/>
            <w:tcMar>
              <w:top w:w="12" w:type="dxa"/>
              <w:left w:w="75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iln"/>
              </w:rPr>
              <w:t>SPOJENCI: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9AB5C0"/>
            <w:tcMar>
              <w:top w:w="12" w:type="dxa"/>
              <w:left w:w="75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  <w:rPr>
                <w:b/>
                <w:bCs/>
              </w:rPr>
            </w:pPr>
            <w:r>
              <w:rPr>
                <w:rStyle w:val="Siln"/>
              </w:rPr>
              <w:t>OSA: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Velká Británie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Německo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Francie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Itálie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USA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Japonsko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sz w:val="21"/>
                <w:szCs w:val="21"/>
              </w:rPr>
              <w:t>Sovětský svaz 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t> 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t> 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t>a další státy: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t>a další státy:</w:t>
            </w:r>
          </w:p>
        </w:tc>
      </w:tr>
      <w:tr w:rsidR="00892BCE" w:rsidTr="00892BCE">
        <w:trPr>
          <w:jc w:val="center"/>
        </w:trPr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rStyle w:val="Zdraznn"/>
              </w:rPr>
              <w:t>Čína, Polsko, Jugoslávie, Česko, Řecko, Norsko, Kanada...</w:t>
            </w:r>
          </w:p>
        </w:tc>
        <w:tc>
          <w:tcPr>
            <w:tcW w:w="0" w:type="auto"/>
            <w:tcBorders>
              <w:top w:val="single" w:sz="6" w:space="0" w:color="9AB5C0"/>
              <w:left w:val="single" w:sz="6" w:space="0" w:color="9AB5C0"/>
              <w:bottom w:val="single" w:sz="6" w:space="0" w:color="9AB5C0"/>
              <w:right w:val="single" w:sz="6" w:space="0" w:color="9AB5C0"/>
            </w:tcBorders>
            <w:shd w:val="clear" w:color="auto" w:fill="auto"/>
            <w:tcMar>
              <w:top w:w="12" w:type="dxa"/>
              <w:left w:w="120" w:type="dxa"/>
              <w:bottom w:w="12" w:type="dxa"/>
              <w:right w:w="75" w:type="dxa"/>
            </w:tcMar>
            <w:vAlign w:val="center"/>
            <w:hideMark/>
          </w:tcPr>
          <w:p w:rsidR="00892BCE" w:rsidRDefault="00892BCE" w:rsidP="00C046EF">
            <w:pPr>
              <w:contextualSpacing/>
              <w:jc w:val="both"/>
            </w:pPr>
            <w:r>
              <w:rPr>
                <w:rStyle w:val="Zdraznn"/>
              </w:rPr>
              <w:t>Slovensko, Rumunsko, Chorvatsko, Maďarsko, Finsko</w:t>
            </w:r>
          </w:p>
        </w:tc>
      </w:tr>
    </w:tbl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892BCE" w:rsidRPr="00C046EF" w:rsidRDefault="00892BCE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  <w:r>
        <w:rPr>
          <w:rFonts w:ascii="Tahoma" w:hAnsi="Tahoma" w:cs="Tahoma"/>
          <w:b w:val="0"/>
          <w:bCs w:val="0"/>
          <w:color w:val="1F3B55"/>
          <w:sz w:val="29"/>
          <w:szCs w:val="29"/>
        </w:rPr>
        <w:t>ZBRANĚ II.SVĚTOVÉ VÁLKY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 Technický pokrok a touha po vítězství byly příčinou vývoje, vylepšování a vynalézání zbraní. Stejně jako I. světová válka, má i ta II. svá smutná prvenství. Vojáci používali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pušky, samopaly, pistole i kulomety</w:t>
      </w:r>
      <w:r>
        <w:rPr>
          <w:rFonts w:ascii="Tahoma" w:hAnsi="Tahoma" w:cs="Tahoma"/>
          <w:color w:val="000000"/>
          <w:sz w:val="19"/>
          <w:szCs w:val="19"/>
        </w:rPr>
        <w:t xml:space="preserve">. Vylepšily se </w:t>
      </w:r>
      <w:hyperlink r:id="rId12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tanky</w:t>
        </w:r>
      </w:hyperlink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a </w:t>
      </w:r>
      <w:hyperlink r:id="rId13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granáty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. Byly vyvinuty dělostřelecké i </w:t>
      </w:r>
      <w:hyperlink r:id="rId14" w:tgtFrame="_blank" w:history="1">
        <w:r>
          <w:rPr>
            <w:rStyle w:val="Hypertextovodkaz"/>
            <w:rFonts w:ascii="Tahoma" w:hAnsi="Tahoma" w:cs="Tahoma"/>
            <w:color w:val="2A7594"/>
            <w:sz w:val="19"/>
            <w:szCs w:val="19"/>
          </w:rPr>
          <w:t xml:space="preserve">balistické </w:t>
        </w:r>
        <w:r>
          <w:rPr>
            <w:rStyle w:val="Siln"/>
            <w:rFonts w:ascii="Tahoma" w:hAnsi="Tahoma" w:cs="Tahoma"/>
            <w:color w:val="2A7594"/>
            <w:sz w:val="19"/>
            <w:szCs w:val="19"/>
            <w:u w:val="single"/>
          </w:rPr>
          <w:t>rakety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(letí přesně na cíl), </w:t>
      </w:r>
      <w:hyperlink r:id="rId15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raketomety</w:t>
        </w:r>
      </w:hyperlink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, </w:t>
      </w:r>
      <w:hyperlink r:id="rId16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radiolokátor</w:t>
        </w:r>
      </w:hyperlink>
      <w:r>
        <w:rPr>
          <w:rFonts w:ascii="Tahoma" w:hAnsi="Tahoma" w:cs="Tahoma"/>
          <w:color w:val="000000"/>
          <w:sz w:val="19"/>
          <w:szCs w:val="19"/>
        </w:rPr>
        <w:t xml:space="preserve"> (radar). Ve válce bojovaly </w:t>
      </w:r>
      <w:hyperlink r:id="rId17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torpédoborce</w:t>
        </w:r>
      </w:hyperlink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, </w:t>
      </w:r>
      <w:hyperlink r:id="rId18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ponorky</w:t>
        </w:r>
      </w:hyperlink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, </w:t>
      </w:r>
      <w:hyperlink r:id="rId19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letadlové lodě</w:t>
        </w:r>
      </w:hyperlink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atd. Nejzákeřnější zbraní byla </w:t>
      </w:r>
      <w:hyperlink r:id="rId20" w:tgtFrame="_blank" w:history="1">
        <w:r>
          <w:rPr>
            <w:rStyle w:val="Hypertextovodkaz"/>
            <w:rFonts w:ascii="Tahoma" w:hAnsi="Tahoma" w:cs="Tahoma"/>
            <w:b/>
            <w:bCs/>
            <w:color w:val="2A7594"/>
            <w:sz w:val="19"/>
            <w:szCs w:val="19"/>
          </w:rPr>
          <w:t>jaderná bomba</w:t>
        </w:r>
      </w:hyperlink>
      <w:r>
        <w:rPr>
          <w:rFonts w:ascii="Tahoma" w:hAnsi="Tahoma" w:cs="Tahoma"/>
          <w:color w:val="000000"/>
          <w:sz w:val="19"/>
          <w:szCs w:val="19"/>
        </w:rPr>
        <w:t>, zbraň totálního ničení, kterou použili Američané při útoku na Japonsko.  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    Dvě jaderné pumy byly svrženy v roce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1945</w:t>
      </w:r>
      <w:r>
        <w:rPr>
          <w:rFonts w:ascii="Tahoma" w:hAnsi="Tahoma" w:cs="Tahoma"/>
          <w:color w:val="000000"/>
          <w:sz w:val="19"/>
          <w:szCs w:val="19"/>
        </w:rPr>
        <w:t xml:space="preserve"> na japonská města</w:t>
      </w: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 Hirošima a Nagasaki</w:t>
      </w:r>
      <w:r>
        <w:rPr>
          <w:rFonts w:ascii="Tahoma" w:hAnsi="Tahoma" w:cs="Tahoma"/>
          <w:color w:val="000000"/>
          <w:sz w:val="19"/>
          <w:szCs w:val="19"/>
        </w:rPr>
        <w:t xml:space="preserve">. Ničivá síla jaderné pumy je dlouhodobá. Lidé umírali v plamenech a zříceninách budov, ale následně i na ozáření. Ozáření je velmi nebezpečné, zastaví v těle tvorbu buněk a člověk může zemřít. Neobnovují se krvinky, neurony ani střevní buňky, při vysokém ozáření člověk upadá do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komatu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a umírá.</w:t>
      </w:r>
    </w:p>
    <w:p w:rsidR="00C046EF" w:rsidRDefault="00C046EF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</w:p>
    <w:p w:rsidR="00892BCE" w:rsidRPr="00C046EF" w:rsidRDefault="00892BCE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  <w:r>
        <w:rPr>
          <w:rFonts w:ascii="Tahoma" w:hAnsi="Tahoma" w:cs="Tahoma"/>
          <w:b w:val="0"/>
          <w:bCs w:val="0"/>
          <w:color w:val="1F3B55"/>
          <w:sz w:val="29"/>
          <w:szCs w:val="29"/>
        </w:rPr>
        <w:t>PRŮBĚH VÁLKY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Style w:val="Siln"/>
          <w:rFonts w:ascii="Tahoma" w:hAnsi="Tahoma" w:cs="Tahoma"/>
          <w:color w:val="000000"/>
          <w:sz w:val="19"/>
          <w:szCs w:val="19"/>
        </w:rPr>
        <w:t>Hitler napadl 1.září.1939 Polsko</w:t>
      </w:r>
      <w:r>
        <w:rPr>
          <w:rFonts w:ascii="Tahoma" w:hAnsi="Tahoma" w:cs="Tahoma"/>
          <w:color w:val="000000"/>
          <w:sz w:val="19"/>
          <w:szCs w:val="19"/>
        </w:rPr>
        <w:t>,</w:t>
      </w:r>
      <w:r w:rsidR="00BA45E6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tak začíná II. světová válka. Následně pak zaútočil na Dánsko, Norsko, státy Beneluxu i část Francie.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V letecké bitvě o Británii ale nezvítězil. </w:t>
      </w:r>
      <w:r>
        <w:rPr>
          <w:rStyle w:val="Zdraznn"/>
          <w:rFonts w:ascii="Tahoma" w:hAnsi="Tahoma" w:cs="Tahoma"/>
          <w:color w:val="000000"/>
          <w:sz w:val="19"/>
          <w:szCs w:val="19"/>
        </w:rPr>
        <w:t xml:space="preserve">(Stejně jako za I. světové války odcházeli čeští vojáci do zahraničních vojsk. Čeští letci se výrazně se podíleli např. právě na bitvě o Británii, jiní vojáci se uplatnili v bitvě u </w:t>
      </w:r>
      <w:proofErr w:type="spellStart"/>
      <w:r>
        <w:rPr>
          <w:rStyle w:val="Zdraznn"/>
          <w:rFonts w:ascii="Tahoma" w:hAnsi="Tahoma" w:cs="Tahoma"/>
          <w:color w:val="000000"/>
          <w:sz w:val="19"/>
          <w:szCs w:val="19"/>
        </w:rPr>
        <w:t>Tobruku</w:t>
      </w:r>
      <w:proofErr w:type="spellEnd"/>
      <w:r>
        <w:rPr>
          <w:rStyle w:val="Zdraznn"/>
          <w:rFonts w:ascii="Tahoma" w:hAnsi="Tahoma" w:cs="Tahoma"/>
          <w:color w:val="000000"/>
          <w:sz w:val="19"/>
          <w:szCs w:val="19"/>
        </w:rPr>
        <w:t xml:space="preserve"> v </w:t>
      </w:r>
      <w:proofErr w:type="spellStart"/>
      <w:r>
        <w:rPr>
          <w:rStyle w:val="Zdraznn"/>
          <w:rFonts w:ascii="Tahoma" w:hAnsi="Tahoma" w:cs="Tahoma"/>
          <w:color w:val="000000"/>
          <w:sz w:val="19"/>
          <w:szCs w:val="19"/>
        </w:rPr>
        <w:t>Lybii</w:t>
      </w:r>
      <w:proofErr w:type="spellEnd"/>
      <w:r>
        <w:rPr>
          <w:rStyle w:val="Zdraznn"/>
          <w:rFonts w:ascii="Tahoma" w:hAnsi="Tahoma" w:cs="Tahoma"/>
          <w:color w:val="000000"/>
          <w:sz w:val="19"/>
          <w:szCs w:val="19"/>
        </w:rPr>
        <w:t xml:space="preserve"> v severní Africe.) 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    V roce 1941 napadli Němci Rusko a Japonci zákeřně zaútočili na americkou leteckou základnu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Pearl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Harbour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na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Hawaji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Válka tak probíhala v Evropě a Asii, na severu Afriky i v Tichém oceánu.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   Na přelomu roku 1942/43 u města Stalingrad v Rusku utrpěla německá vojska velkou porážku, která odstartovala jejich ústup. V Rusku byla krutá zima a německá vojska na ni nebyla připravena. Rusové vytlačují Němce zpět.</w:t>
      </w:r>
    </w:p>
    <w:p w:rsidR="00892BCE" w:rsidRDefault="00892BCE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    Německo ztrácí dříve získaná území. Rusové 30.dubna osvobozují Ostravu. Ve stejný den již nervově labilní Hitler páchá sebevraždu. Američané osvobozují Plzeň. </w:t>
      </w: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Válka v Evropě oficiálně končí 8.května 1945. </w:t>
      </w:r>
      <w:r>
        <w:rPr>
          <w:rFonts w:ascii="Tahoma" w:hAnsi="Tahoma" w:cs="Tahoma"/>
          <w:color w:val="000000"/>
          <w:sz w:val="19"/>
          <w:szCs w:val="19"/>
        </w:rPr>
        <w:t xml:space="preserve">9.května Rudá armáda osvobozuje Prahu. Oficiální konec II. světové války je až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2. září 1945,</w:t>
      </w:r>
      <w:r>
        <w:rPr>
          <w:rFonts w:ascii="Tahoma" w:hAnsi="Tahoma" w:cs="Tahoma"/>
          <w:color w:val="000000"/>
          <w:sz w:val="19"/>
          <w:szCs w:val="19"/>
        </w:rPr>
        <w:t xml:space="preserve"> kdy se vzdalo (= kapitulovalo) Japonsko.</w:t>
      </w:r>
    </w:p>
    <w:p w:rsidR="00C046EF" w:rsidRDefault="00C046EF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</w:t>
      </w:r>
    </w:p>
    <w:p w:rsidR="00C046EF" w:rsidRDefault="00C046EF" w:rsidP="00C046EF">
      <w:pPr>
        <w:pStyle w:val="Nadpis1"/>
        <w:shd w:val="clear" w:color="auto" w:fill="ECF3F5"/>
        <w:spacing w:before="0" w:beforeAutospacing="0" w:after="0" w:afterAutospacing="0"/>
        <w:contextualSpacing/>
        <w:jc w:val="both"/>
        <w:rPr>
          <w:rFonts w:ascii="Tahoma" w:hAnsi="Tahoma" w:cs="Tahoma"/>
          <w:b w:val="0"/>
          <w:bCs w:val="0"/>
          <w:color w:val="1F3B55"/>
          <w:sz w:val="29"/>
          <w:szCs w:val="29"/>
        </w:rPr>
      </w:pPr>
      <w:r>
        <w:rPr>
          <w:rFonts w:ascii="Tahoma" w:hAnsi="Tahoma" w:cs="Tahoma"/>
          <w:b w:val="0"/>
          <w:bCs w:val="0"/>
          <w:color w:val="1F3B55"/>
          <w:sz w:val="29"/>
          <w:szCs w:val="29"/>
        </w:rPr>
        <w:t>NÁSLEDKY VÁLKY</w:t>
      </w:r>
    </w:p>
    <w:p w:rsidR="00C046EF" w:rsidRDefault="00C046EF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Během II. světové války zemřelo asi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60 milionů lidí</w:t>
      </w:r>
      <w:r>
        <w:rPr>
          <w:rFonts w:ascii="Tahoma" w:hAnsi="Tahoma" w:cs="Tahoma"/>
          <w:color w:val="000000"/>
          <w:sz w:val="19"/>
          <w:szCs w:val="19"/>
        </w:rPr>
        <w:t xml:space="preserve">, z toho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20 milionů vojáků</w:t>
      </w:r>
      <w:r>
        <w:rPr>
          <w:rFonts w:ascii="Tahoma" w:hAnsi="Tahoma" w:cs="Tahoma"/>
          <w:color w:val="000000"/>
          <w:sz w:val="19"/>
          <w:szCs w:val="19"/>
        </w:rPr>
        <w:t xml:space="preserve"> a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40 milionů obyčejných lidí</w:t>
      </w:r>
      <w:r>
        <w:rPr>
          <w:rFonts w:ascii="Tahoma" w:hAnsi="Tahoma" w:cs="Tahoma"/>
          <w:color w:val="000000"/>
          <w:sz w:val="19"/>
          <w:szCs w:val="19"/>
        </w:rPr>
        <w:t>. Většina z nich podlehla nemocem, hladu a úmyslnému vyhlazování Židů. </w:t>
      </w:r>
    </w:p>
    <w:p w:rsidR="00C046EF" w:rsidRDefault="00C046EF" w:rsidP="00C046EF">
      <w:pPr>
        <w:pStyle w:val="Normlnweb"/>
        <w:shd w:val="clear" w:color="auto" w:fill="ECF3F5"/>
        <w:spacing w:before="0" w:beforeAutospacing="0" w:after="105" w:afterAutospacing="0" w:line="384" w:lineRule="atLeast"/>
        <w:contextualSpacing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Evropu si po válce </w:t>
      </w:r>
      <w:r>
        <w:rPr>
          <w:rStyle w:val="Siln"/>
          <w:rFonts w:ascii="Tahoma" w:hAnsi="Tahoma" w:cs="Tahoma"/>
          <w:color w:val="000000"/>
          <w:sz w:val="19"/>
          <w:szCs w:val="19"/>
        </w:rPr>
        <w:t xml:space="preserve">rozdělily vítězné </w:t>
      </w:r>
      <w:proofErr w:type="gramStart"/>
      <w:r>
        <w:rPr>
          <w:rStyle w:val="Siln"/>
          <w:rFonts w:ascii="Tahoma" w:hAnsi="Tahoma" w:cs="Tahoma"/>
          <w:color w:val="000000"/>
          <w:sz w:val="19"/>
          <w:szCs w:val="19"/>
        </w:rPr>
        <w:t>státy</w:t>
      </w:r>
      <w:r>
        <w:rPr>
          <w:rFonts w:ascii="Tahoma" w:hAnsi="Tahoma" w:cs="Tahoma"/>
          <w:color w:val="000000"/>
          <w:sz w:val="19"/>
          <w:szCs w:val="19"/>
        </w:rPr>
        <w:t xml:space="preserve"> -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Rusko</w:t>
      </w:r>
      <w:proofErr w:type="gramEnd"/>
      <w:r>
        <w:rPr>
          <w:rStyle w:val="Siln"/>
          <w:rFonts w:ascii="Tahoma" w:hAnsi="Tahoma" w:cs="Tahoma"/>
          <w:color w:val="000000"/>
          <w:sz w:val="19"/>
          <w:szCs w:val="19"/>
        </w:rPr>
        <w:t>, Británie, Francie a USA</w:t>
      </w:r>
      <w:r>
        <w:rPr>
          <w:rFonts w:ascii="Tahoma" w:hAnsi="Tahoma" w:cs="Tahoma"/>
          <w:color w:val="000000"/>
          <w:sz w:val="19"/>
          <w:szCs w:val="19"/>
        </w:rPr>
        <w:t xml:space="preserve">. Československo tak spadlo pod </w:t>
      </w:r>
      <w:r>
        <w:rPr>
          <w:rStyle w:val="Siln"/>
          <w:rFonts w:ascii="Tahoma" w:hAnsi="Tahoma" w:cs="Tahoma"/>
          <w:color w:val="000000"/>
          <w:sz w:val="19"/>
          <w:szCs w:val="19"/>
        </w:rPr>
        <w:t>vliv Sovětského svazu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892BCE" w:rsidRPr="00605195" w:rsidRDefault="00C046EF" w:rsidP="00C046EF">
      <w:pPr>
        <w:pStyle w:val="Odstavecseseznamem"/>
        <w:tabs>
          <w:tab w:val="left" w:pos="2292"/>
        </w:tabs>
        <w:ind w:left="0"/>
        <w:jc w:val="both"/>
      </w:pPr>
      <w:r>
        <w:rPr>
          <w:rFonts w:ascii="Tahoma" w:hAnsi="Tahoma" w:cs="Tahoma"/>
          <w:color w:val="000000"/>
          <w:sz w:val="19"/>
          <w:szCs w:val="19"/>
        </w:rPr>
        <w:br/>
      </w:r>
      <w:r>
        <w:rPr>
          <w:rFonts w:ascii="Tahoma" w:hAnsi="Tahoma" w:cs="Tahoma"/>
          <w:color w:val="000000"/>
          <w:sz w:val="19"/>
          <w:szCs w:val="19"/>
        </w:rPr>
        <w:br/>
      </w:r>
      <w:r w:rsidR="00892BCE">
        <w:rPr>
          <w:rFonts w:ascii="Tahoma" w:hAnsi="Tahoma" w:cs="Tahoma"/>
          <w:color w:val="000000"/>
          <w:sz w:val="19"/>
          <w:szCs w:val="19"/>
        </w:rPr>
        <w:br/>
      </w:r>
    </w:p>
    <w:sectPr w:rsidR="00892BCE" w:rsidRPr="0060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6584" w:rsidRDefault="009C6584" w:rsidP="00901629">
      <w:r>
        <w:separator/>
      </w:r>
    </w:p>
  </w:endnote>
  <w:endnote w:type="continuationSeparator" w:id="0">
    <w:p w:rsidR="009C6584" w:rsidRDefault="009C6584" w:rsidP="0090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6584" w:rsidRDefault="009C6584" w:rsidP="00901629">
      <w:r>
        <w:separator/>
      </w:r>
    </w:p>
  </w:footnote>
  <w:footnote w:type="continuationSeparator" w:id="0">
    <w:p w:rsidR="009C6584" w:rsidRDefault="009C6584" w:rsidP="00901629">
      <w:r>
        <w:continuationSeparator/>
      </w:r>
    </w:p>
  </w:footnote>
  <w:footnote w:id="1">
    <w:p w:rsidR="00901629" w:rsidRDefault="00901629">
      <w:pPr>
        <w:pStyle w:val="Textpoznpodarou"/>
      </w:pPr>
      <w:r w:rsidRPr="00901629">
        <w:rPr>
          <w:rStyle w:val="Znakapoznpodarou"/>
          <w:sz w:val="16"/>
          <w:szCs w:val="16"/>
        </w:rPr>
        <w:footnoteRef/>
      </w:r>
      <w:r w:rsidRPr="00901629">
        <w:rPr>
          <w:sz w:val="16"/>
          <w:szCs w:val="16"/>
        </w:rPr>
        <w:t xml:space="preserve"> Autor: Mgr. Beata </w:t>
      </w:r>
      <w:proofErr w:type="spellStart"/>
      <w:r w:rsidRPr="00901629">
        <w:rPr>
          <w:sz w:val="16"/>
          <w:szCs w:val="16"/>
        </w:rPr>
        <w:t>Pukowiecová</w:t>
      </w:r>
      <w:proofErr w:type="spellEnd"/>
      <w:r w:rsidRPr="00901629">
        <w:rPr>
          <w:sz w:val="16"/>
          <w:szCs w:val="16"/>
        </w:rPr>
        <w:t>, ZŠ Mendelova</w:t>
      </w:r>
    </w:p>
  </w:footnote>
  <w:footnote w:id="2">
    <w:p w:rsidR="00892BCE" w:rsidRDefault="00892BCE" w:rsidP="00892BCE">
      <w:pPr>
        <w:pStyle w:val="Textpoznpodarou"/>
      </w:pPr>
      <w:r w:rsidRPr="00901629">
        <w:rPr>
          <w:rStyle w:val="Znakapoznpodarou"/>
          <w:sz w:val="16"/>
          <w:szCs w:val="16"/>
        </w:rPr>
        <w:footnoteRef/>
      </w:r>
      <w:r w:rsidRPr="0090162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Zdroj: </w:t>
      </w:r>
      <w:hyperlink r:id="rId1" w:history="1">
        <w:r w:rsidRPr="00892BCE">
          <w:rPr>
            <w:rStyle w:val="Hypertextovodkaz"/>
            <w:rFonts w:ascii="Tahoma" w:hAnsi="Tahoma" w:cs="Tahoma"/>
            <w:color w:val="2A7594"/>
            <w:sz w:val="14"/>
            <w:szCs w:val="14"/>
          </w:rPr>
          <w:t>https://pancelcino.webnode.cz/vla-dejepis/ii-svetova-valka/valka/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3BD7"/>
    <w:multiLevelType w:val="hybridMultilevel"/>
    <w:tmpl w:val="C0949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EA"/>
    <w:rsid w:val="001424DC"/>
    <w:rsid w:val="00605195"/>
    <w:rsid w:val="00892BCE"/>
    <w:rsid w:val="00901629"/>
    <w:rsid w:val="009C6584"/>
    <w:rsid w:val="00B46BA9"/>
    <w:rsid w:val="00BA45E6"/>
    <w:rsid w:val="00C046EF"/>
    <w:rsid w:val="00DA276D"/>
    <w:rsid w:val="00D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2AB3"/>
  <w15:chartTrackingRefBased/>
  <w15:docId w15:val="{E7FAA316-2A44-40CC-A9D4-CEE39D78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2B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6B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BA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162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16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0162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92B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2B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2BCE"/>
    <w:rPr>
      <w:b/>
      <w:bCs/>
    </w:rPr>
  </w:style>
  <w:style w:type="character" w:styleId="Zdraznn">
    <w:name w:val="Emphasis"/>
    <w:basedOn w:val="Standardnpsmoodstavce"/>
    <w:uiPriority w:val="20"/>
    <w:qFormat/>
    <w:rsid w:val="00892B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393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08088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4535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3890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20195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8772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jv02nwAWc" TargetMode="External"/><Relationship Id="rId13" Type="http://schemas.openxmlformats.org/officeDocument/2006/relationships/hyperlink" Target="http://upload.wikimedia.org/wikipedia/commons/8/8c/Type_86P_grenade.jpg" TargetMode="External"/><Relationship Id="rId18" Type="http://schemas.openxmlformats.org/officeDocument/2006/relationships/hyperlink" Target="http://upload.wikimedia.org/wikipedia/commons/c/cd/USS_H-3_1922_h53822.jp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thumb/4/42/Char_T-34.jpg/800px-Char_T-34.jpg" TargetMode="External"/><Relationship Id="rId17" Type="http://schemas.openxmlformats.org/officeDocument/2006/relationships/hyperlink" Target="http://upload.wikimedia.org/wikipedia/commons/thumb/7/74/IJN_Destroyer_Ikazuchi.jpg/800px-IJN_Destroyer_Ikazuchi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thumb/a/aa/Douvresradar1.jpg/800px-Douvresradar1.jpg" TargetMode="External"/><Relationship Id="rId20" Type="http://schemas.openxmlformats.org/officeDocument/2006/relationships/hyperlink" Target="http://upload.wikimedia.org/wikipedia/commons/thumb/e/e0/Nagasakibomb.jpg/502px-Nagasakibomb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LWRYnT9X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load.wikimedia.org/wikipedia/commons/thumb/c/c9/BM_13_and_BM_21_TBiU_7.jpg/800px-BM_13_and_BM_21_TBiU_7.jp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upload.wikimedia.org/wikipedia/commons/thumb/b/bc/USS_Yorktown_(CV-5)_Jul1937.jpg/780px-USS_Yorktown_(CV-5)_Jul1937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7akm6F9Hes" TargetMode="External"/><Relationship Id="rId14" Type="http://schemas.openxmlformats.org/officeDocument/2006/relationships/hyperlink" Target="http://upload.wikimedia.org/wikipedia/commons/thumb/6/60/Minuteman3launch.jpg/471px-Minuteman3launch.jpg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ncelcino.webnode.cz/vla-dejepis/ii-svetova-valka/valka/?utm_source=copy&amp;utm_medium=paste&amp;utm_campaign=copypaste&amp;utm_content=https%3A%2F%2Fpancelcino.webnode.cz%2Fvla-dejepis%2Fii-svetova-valka%2Fvalka%2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BA1D-960B-4AB9-9448-2E4B6C20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4</cp:revision>
  <dcterms:created xsi:type="dcterms:W3CDTF">2020-06-04T11:22:00Z</dcterms:created>
  <dcterms:modified xsi:type="dcterms:W3CDTF">2020-06-04T12:07:00Z</dcterms:modified>
</cp:coreProperties>
</file>